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060. The transfer/separation section in the PRO 951 is the same as the PRO 1200 series.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15pt;height:17.85pt" o:ole="">
                  <v:imagedata r:id="rId4" o:title=""/>
                </v:shape>
                <w:control r:id="rId5" w:name="DefaultOcxName" w:shapeid="_x0000_i103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33" type="#_x0000_t75" style="width:20.15pt;height:17.85pt" o:ole="">
                  <v:imagedata r:id="rId4" o:title=""/>
                </v:shape>
                <w:control r:id="rId6" w:name="DefaultOcxName1" w:shapeid="_x0000_i103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065. In the vertical conveyance section, the shape of the vertical conveyance exit roller </w:t>
            </w:r>
            <w:proofErr w:type="gramStart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had been changed</w:t>
            </w:r>
            <w:proofErr w:type="gramEnd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from an integrated type to a segmented type.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correct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reason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36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37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052" type="#_x0000_t75" style="width:20.15pt;height:17.85pt" o:ole="">
                  <v:imagedata r:id="rId4" o:title=""/>
                </v:shape>
                <w:control r:id="rId7" w:name="DefaultOcxName3" w:shapeid="_x0000_i105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To</w:t>
            </w:r>
            <w:proofErr w:type="spellEnd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prevent</w:t>
            </w:r>
            <w:proofErr w:type="spellEnd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paper</w:t>
            </w:r>
            <w:proofErr w:type="spellEnd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wrap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51" type="#_x0000_t75" style="width:20.15pt;height:17.85pt" o:ole="">
                  <v:imagedata r:id="rId4" o:title=""/>
                </v:shape>
                <w:control r:id="rId8" w:name="DefaultOcxName11" w:shapeid="_x0000_i105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 prevent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mis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-centering of paper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50" type="#_x0000_t75" style="width:20.15pt;height:17.85pt" o:ole="">
                  <v:imagedata r:id="rId4" o:title=""/>
                </v:shape>
                <w:control r:id="rId9" w:name="DefaultOcxName2" w:shapeid="_x0000_i105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 reduce the weight of the roller</w:t>
            </w:r>
          </w:p>
        </w:tc>
      </w:tr>
    </w:tbl>
    <w:p w:rsidR="000771B6" w:rsidRDefault="000771B6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4"/>
        <w:gridCol w:w="8391"/>
      </w:tblGrid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3" name="Рисунок 3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050. What is the process line speed of the PRO 951?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correct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2" name="Рисунок 2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1" name="Рисунок 1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71" type="#_x0000_t75" style="width:20.15pt;height:17.85pt" o:ole="">
                  <v:imagedata r:id="rId11" o:title=""/>
                </v:shape>
                <w:control r:id="rId12" w:name="DefaultOcxName4" w:shapeid="_x0000_i107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330mm/s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070" type="#_x0000_t75" style="width:20.15pt;height:17.85pt" o:ole="">
                  <v:imagedata r:id="rId11" o:title=""/>
                </v:shape>
                <w:control r:id="rId13" w:name="DefaultOcxName12" w:shapeid="_x0000_i107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460mm/s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069" type="#_x0000_t75" style="width:20.15pt;height:17.85pt" o:ole="">
                  <v:imagedata r:id="rId11" o:title=""/>
                </v:shape>
                <w:control r:id="rId14" w:name="DefaultOcxName21" w:shapeid="_x0000_i106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290mm/s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68" type="#_x0000_t75" style="width:20.15pt;height:17.85pt" o:ole="">
                  <v:imagedata r:id="rId11" o:title=""/>
                </v:shape>
                <w:control r:id="rId15" w:name="DefaultOcxName31" w:shapeid="_x0000_i106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570mm/s</w:t>
            </w:r>
          </w:p>
        </w:tc>
      </w:tr>
    </w:tbl>
    <w:p w:rsidR="00087FB9" w:rsidRDefault="00087FB9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047. For the PRO 951, the default setting of DIPSW42-5 is "ON".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74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075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83" type="#_x0000_t75" style="width:20.15pt;height:17.85pt" o:ole="">
                  <v:imagedata r:id="rId4" o:title=""/>
                </v:shape>
                <w:control r:id="rId16" w:name="DefaultOcxName5" w:shapeid="_x0000_i108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082" type="#_x0000_t75" style="width:20.15pt;height:17.85pt" o:ole="">
                  <v:imagedata r:id="rId4" o:title=""/>
                </v:shape>
                <w:control r:id="rId17" w:name="DefaultOcxName13" w:shapeid="_x0000_i108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</w:tbl>
    <w:p w:rsidR="00087FB9" w:rsidRDefault="00087FB9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4"/>
        <w:gridCol w:w="8391"/>
      </w:tblGrid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039. Select 2 </w:t>
            </w:r>
            <w:proofErr w:type="gramStart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items which</w:t>
            </w:r>
            <w:proofErr w:type="gramEnd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are newly added in the machine adjustment of the PRO 951.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5" name="Рисунок 5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4" name="Рисунок 4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00" type="#_x0000_t75" style="width:20.15pt;height:17.85pt" o:ole="">
                  <v:imagedata r:id="rId11" o:title=""/>
                </v:shape>
                <w:control r:id="rId18" w:name="DefaultOcxName6" w:shapeid="_x0000_i110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Printer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Gamma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Offset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099" type="#_x0000_t75" style="width:20.15pt;height:17.85pt" o:ole="">
                  <v:imagedata r:id="rId11" o:title=""/>
                </v:shape>
                <w:control r:id="rId19" w:name="DefaultOcxName14" w:shapeid="_x0000_i109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CCD Right and Left Quality Adjustment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object w:dxaOrig="1440" w:dyaOrig="1440">
                <v:shape id="_x0000_i1098" type="#_x0000_t75" style="width:20.15pt;height:17.85pt" o:ole="">
                  <v:imagedata r:id="rId11" o:title=""/>
                </v:shape>
                <w:control r:id="rId20" w:name="DefaultOcxName22" w:shapeid="_x0000_i109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Fusing</w:t>
            </w:r>
            <w:proofErr w:type="spellEnd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Speed</w:t>
            </w:r>
            <w:proofErr w:type="spellEnd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Adjustment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097" type="#_x0000_t75" style="width:20.15pt;height:17.85pt" o:ole="">
                  <v:imagedata r:id="rId11" o:title=""/>
                </v:shape>
                <w:control r:id="rId21" w:name="DefaultOcxName32" w:shapeid="_x0000_i109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Printer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Centering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Adjustment</w:t>
            </w:r>
            <w:proofErr w:type="spellEnd"/>
          </w:p>
        </w:tc>
      </w:tr>
    </w:tbl>
    <w:p w:rsidR="00087FB9" w:rsidRDefault="00087FB9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001. The PRO 951 </w:t>
            </w:r>
            <w:proofErr w:type="gramStart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 developed</w:t>
            </w:r>
            <w:proofErr w:type="gramEnd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based on the PRO 1200 platform as a succession model to the PRO 950.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03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04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12" type="#_x0000_t75" style="width:20.15pt;height:17.85pt" o:ole="">
                  <v:imagedata r:id="rId4" o:title=""/>
                </v:shape>
                <w:control r:id="rId22" w:name="DefaultOcxName7" w:shapeid="_x0000_i111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11" type="#_x0000_t75" style="width:20.15pt;height:17.85pt" o:ole="">
                  <v:imagedata r:id="rId4" o:title=""/>
                </v:shape>
                <w:control r:id="rId23" w:name="DefaultOcxName15" w:shapeid="_x0000_i111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</w:tbl>
    <w:p w:rsidR="00087FB9" w:rsidRDefault="00087FB9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14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070. Select the correct reason why the fold position on the guide plate </w:t>
            </w:r>
            <w:proofErr w:type="gramStart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 optimized</w:t>
            </w:r>
            <w:proofErr w:type="gramEnd"/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 or why the PET and the rib are added.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15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087FB9" w:rsidRPr="00087FB9" w:rsidTr="00087FB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16" style="width:0;height:1.5pt" o:hralign="center" o:hrstd="t" o:hr="t" fillcolor="#a0a0a0" stroked="f"/>
              </w:pic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28" type="#_x0000_t75" style="width:20.15pt;height:17.85pt" o:ole="">
                  <v:imagedata r:id="rId4" o:title=""/>
                </v:shape>
                <w:control r:id="rId24" w:name="DefaultOcxName8" w:shapeid="_x0000_i112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 enhance the paper feed ability for thick paper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27" type="#_x0000_t75" style="width:20.15pt;height:17.85pt" o:ole="">
                  <v:imagedata r:id="rId4" o:title=""/>
                </v:shape>
                <w:control r:id="rId25" w:name="DefaultOcxName16" w:shapeid="_x0000_i112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To enhance the paper feed ability for thin paper</w:t>
            </w:r>
          </w:p>
        </w:tc>
      </w:tr>
      <w:tr w:rsidR="00087FB9" w:rsidRPr="00087FB9" w:rsidTr="00087FB9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26" type="#_x0000_t75" style="width:20.15pt;height:17.85pt" o:ole="">
                  <v:imagedata r:id="rId4" o:title=""/>
                </v:shape>
                <w:control r:id="rId26" w:name="DefaultOcxName23" w:shapeid="_x0000_i112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B9" w:rsidRPr="00087FB9" w:rsidRDefault="00087FB9" w:rsidP="00087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F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 improve the ability for JAM processing</w:t>
            </w:r>
          </w:p>
        </w:tc>
      </w:tr>
    </w:tbl>
    <w:p w:rsidR="00087FB9" w:rsidRDefault="00087FB9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4"/>
        <w:gridCol w:w="8391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034. Among all the [Quality Adjustment] items, which is the item you can look at the setting state on the top screen of the COPY tab?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7" name="Рисунок 7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6" name="Рисунок 6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48" type="#_x0000_t75" style="width:20.15pt;height:17.85pt" o:ole="">
                  <v:imagedata r:id="rId11" o:title=""/>
                </v:shape>
                <w:control r:id="rId27" w:name="DefaultOcxName9" w:shapeid="_x0000_i114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Density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Setting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47" type="#_x0000_t75" style="width:20.15pt;height:17.85pt" o:ole="">
                  <v:imagedata r:id="rId11" o:title=""/>
                </v:shape>
                <w:control r:id="rId28" w:name="DefaultOcxName17" w:shapeid="_x0000_i114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Sharpness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46" type="#_x0000_t75" style="width:20.15pt;height:17.85pt" o:ole="">
                  <v:imagedata r:id="rId11" o:title=""/>
                </v:shape>
                <w:control r:id="rId29" w:name="DefaultOcxName24" w:shapeid="_x0000_i114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Background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Removal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45" type="#_x0000_t75" style="width:20.15pt;height:17.85pt" o:ole="">
                  <v:imagedata r:id="rId11" o:title=""/>
                </v:shape>
                <w:control r:id="rId30" w:name="DefaultOcxName33" w:shapeid="_x0000_i114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Original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Type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44" type="#_x0000_t75" style="width:20.15pt;height:17.85pt" o:ole="">
                  <v:imagedata r:id="rId11" o:title=""/>
                </v:shape>
                <w:control r:id="rId31" w:name="DefaultOcxName41" w:shapeid="_x0000_i114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Text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Photo</w:t>
            </w:r>
            <w:proofErr w:type="spellEnd"/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045. Which item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 displayed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on the PRO 951 when DIPSW8-6 is changed to "1"?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53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54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65" type="#_x0000_t75" style="width:20.15pt;height:17.85pt" o:ole="">
                  <v:imagedata r:id="rId4" o:title=""/>
                </v:shape>
                <w:control r:id="rId32" w:name="DefaultOcxName10" w:shapeid="_x0000_i116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Custom Counter Threshold Set screen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64" type="#_x0000_t75" style="width:20.15pt;height:17.85pt" o:ole="">
                  <v:imagedata r:id="rId4" o:title=""/>
                </v:shape>
                <w:control r:id="rId33" w:name="DefaultOcxName18" w:shapeid="_x0000_i116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Billing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Total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Counter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object w:dxaOrig="1440" w:dyaOrig="1440">
                <v:shape id="_x0000_i1163" type="#_x0000_t75" style="width:20.15pt;height:17.85pt" o:ole="">
                  <v:imagedata r:id="rId4" o:title=""/>
                </v:shape>
                <w:control r:id="rId34" w:name="DefaultOcxName25" w:shapeid="_x0000_i116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Tandem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connection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setting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screen</w:t>
            </w:r>
            <w:proofErr w:type="spellEnd"/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008. Regarding the rear side of the 951, the duct must be kept 200 mm away from the wall, because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it is possible that packing may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occur due to the solid toner.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67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68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76" type="#_x0000_t75" style="width:20.15pt;height:17.85pt" o:ole="">
                  <v:imagedata r:id="rId4" o:title=""/>
                </v:shape>
                <w:control r:id="rId35" w:name="DefaultOcxName20" w:shapeid="_x0000_i117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75" type="#_x0000_t75" style="width:20.15pt;height:17.85pt" o:ole="">
                  <v:imagedata r:id="rId4" o:title=""/>
                </v:shape>
                <w:control r:id="rId36" w:name="DefaultOcxName19" w:shapeid="_x0000_i117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020. The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ErP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function is a function to turn the main power switch OFF after a certain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period of time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 as a forced energy-saving mode.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78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179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87" type="#_x0000_t75" style="width:20.15pt;height:17.85pt" o:ole="">
                  <v:imagedata r:id="rId4" o:title=""/>
                </v:shape>
                <w:control r:id="rId37" w:name="DefaultOcxName26" w:shapeid="_x0000_i118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186" type="#_x0000_t75" style="width:20.15pt;height:17.85pt" o:ole="">
                  <v:imagedata r:id="rId4" o:title=""/>
                </v:shape>
                <w:control r:id="rId38" w:name="DefaultOcxName110" w:shapeid="_x0000_i118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4"/>
        <w:gridCol w:w="8391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058. Select all correct items as the improvement strategy for ozone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air flow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that the charging section of the PRO 951 incorporates.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9" name="Рисунок 9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8" name="Рисунок 8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01" type="#_x0000_t75" style="width:20.15pt;height:17.85pt" o:ole="">
                  <v:imagedata r:id="rId11" o:title=""/>
                </v:shape>
                <w:control r:id="rId39" w:name="DefaultOcxName28" w:shapeid="_x0000_i120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To install a new dedicated duct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00" type="#_x0000_t75" style="width:20.15pt;height:17.85pt" o:ole="">
                  <v:imagedata r:id="rId11" o:title=""/>
                </v:shape>
                <w:control r:id="rId40" w:name="DefaultOcxName111" w:shapeid="_x0000_i120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 install a new ozone measurement sensor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199" type="#_x0000_t75" style="width:20.15pt;height:17.85pt" o:ole="">
                  <v:imagedata r:id="rId11" o:title=""/>
                </v:shape>
                <w:control r:id="rId41" w:name="DefaultOcxName27" w:shapeid="_x0000_i119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To install a new fan</w:t>
            </w:r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006. Which of the following is true regarding the power supply capacity?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05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06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17" type="#_x0000_t75" style="width:20.15pt;height:17.85pt" o:ole="">
                  <v:imagedata r:id="rId4" o:title=""/>
                </v:shape>
                <w:control r:id="rId42" w:name="DefaultOcxName30" w:shapeid="_x0000_i121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The power supply capacity of the PRO 951 is the same as the PRO 950 and PRO 1200.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16" type="#_x0000_t75" style="width:20.15pt;height:17.85pt" o:ole="">
                  <v:imagedata r:id="rId4" o:title=""/>
                </v:shape>
                <w:control r:id="rId43" w:name="DefaultOcxName112" w:shapeid="_x0000_i121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The power supply capacity of the PRO 951 is the same as the PRO 950.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15" type="#_x0000_t75" style="width:20.15pt;height:17.85pt" o:ole="">
                  <v:imagedata r:id="rId4" o:title=""/>
                </v:shape>
                <w:control r:id="rId44" w:name="DefaultOcxName29" w:shapeid="_x0000_i121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The power supply capacity of the PRO 951 is the same as the PRO 1200.</w:t>
            </w:r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061. Select the correct reason why the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waste toner box swing drive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has been changed to the belt drive.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19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20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object w:dxaOrig="1440" w:dyaOrig="1440">
                <v:shape id="_x0000_i1231" type="#_x0000_t75" style="width:20.15pt;height:17.85pt" o:ole="">
                  <v:imagedata r:id="rId4" o:title=""/>
                </v:shape>
                <w:control r:id="rId45" w:name="DefaultOcxName34" w:shapeid="_x0000_i123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To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reduce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noise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30" type="#_x0000_t75" style="width:20.15pt;height:17.85pt" o:ole="">
                  <v:imagedata r:id="rId4" o:title=""/>
                </v:shape>
                <w:control r:id="rId46" w:name="DefaultOcxName113" w:shapeid="_x0000_i123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 improve the accuracy of the swing operation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29" type="#_x0000_t75" style="width:20.15pt;height:17.85pt" o:ole="">
                  <v:imagedata r:id="rId4" o:title=""/>
                </v:shape>
                <w:control r:id="rId47" w:name="DefaultOcxName210" w:shapeid="_x0000_i122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reduce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costs</w:t>
            </w:r>
            <w:proofErr w:type="spellEnd"/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241F6F" w:rsidRPr="00241F6F" w:rsidTr="00241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028. Select the correct description regarding the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corner stapling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angle when using the FS-532.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33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241F6F" w:rsidRPr="00241F6F" w:rsidTr="00241F6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34" style="width:0;height:1.5pt" o:hralign="center" o:hrstd="t" o:hr="t" fillcolor="#a0a0a0" stroked="f"/>
              </w:pic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45" type="#_x0000_t75" style="width:20.15pt;height:17.85pt" o:ole="">
                  <v:imagedata r:id="rId4" o:title=""/>
                </v:shape>
                <w:control r:id="rId48" w:name="DefaultOcxName35" w:shapeid="_x0000_i124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The stapling angle </w:t>
            </w:r>
            <w:proofErr w:type="gramStart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cannot be changed</w:t>
            </w:r>
            <w:proofErr w:type="gramEnd"/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44" type="#_x0000_t75" style="width:20.15pt;height:17.85pt" o:ole="">
                  <v:imagedata r:id="rId4" o:title=""/>
                </v:shape>
                <w:control r:id="rId49" w:name="DefaultOcxName114" w:shapeid="_x0000_i124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You can select [Diagonal] or [Parallel].</w:t>
            </w:r>
          </w:p>
        </w:tc>
      </w:tr>
      <w:tr w:rsidR="00241F6F" w:rsidRPr="00241F6F" w:rsidTr="00241F6F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43" type="#_x0000_t75" style="width:20.15pt;height:17.85pt" o:ole="">
                  <v:imagedata r:id="rId4" o:title=""/>
                </v:shape>
                <w:control r:id="rId50" w:name="DefaultOcxName211" w:shapeid="_x0000_i124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F6F" w:rsidRPr="00241F6F" w:rsidRDefault="00241F6F" w:rsidP="00241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It is available for stapling at any angle.</w:t>
            </w:r>
          </w:p>
        </w:tc>
      </w:tr>
    </w:tbl>
    <w:p w:rsidR="00241F6F" w:rsidRDefault="00241F6F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5A6264" w:rsidRPr="005A6264" w:rsidTr="005A626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023. After the Tandem Job is completed, the machine state </w:t>
            </w:r>
            <w:proofErr w:type="gramStart"/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 maintained</w:t>
            </w:r>
            <w:proofErr w:type="gramEnd"/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based on the setting to select whether to continue using or cancel the Tandem Setting.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47" style="width:0;height:1.5pt" o:hralign="center" o:hrstd="t" o:hr="t" fillcolor="#a0a0a0" stroked="f"/>
              </w:pic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48" style="width:0;height:1.5pt" o:hralign="center" o:hrstd="t" o:hr="t" fillcolor="#a0a0a0" stroked="f"/>
              </w:pic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56" type="#_x0000_t75" style="width:20.15pt;height:17.85pt" o:ole="">
                  <v:imagedata r:id="rId4" o:title=""/>
                </v:shape>
                <w:control r:id="rId51" w:name="DefaultOcxName36" w:shapeid="_x0000_i125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55" type="#_x0000_t75" style="width:20.15pt;height:17.85pt" o:ole="">
                  <v:imagedata r:id="rId4" o:title=""/>
                </v:shape>
                <w:control r:id="rId52" w:name="DefaultOcxName115" w:shapeid="_x0000_i125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</w:tbl>
    <w:p w:rsidR="005A6264" w:rsidRDefault="005A6264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5A6264" w:rsidRPr="005A6264" w:rsidTr="005A626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011. The 951 IDC sensor must not be wiped with a dry cotton swab, because the toner </w:t>
            </w:r>
            <w:proofErr w:type="gramStart"/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gets</w:t>
            </w:r>
            <w:proofErr w:type="gramEnd"/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stuck to the sensor and is unable to be removed due to the textured surface of the sensor.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58" style="width:0;height:1.5pt" o:hralign="center" o:hrstd="t" o:hr="t" fillcolor="#a0a0a0" stroked="f"/>
              </w:pic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pict>
                <v:rect id="_x0000_i1259" style="width:0;height:1.5pt" o:hralign="center" o:hrstd="t" o:hr="t" fillcolor="#a0a0a0" stroked="f"/>
              </w:pic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67" type="#_x0000_t75" style="width:20.15pt;height:17.85pt" o:ole="">
                  <v:imagedata r:id="rId4" o:title=""/>
                </v:shape>
                <w:control r:id="rId53" w:name="DefaultOcxName37" w:shapeid="_x0000_i126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False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66" type="#_x0000_t75" style="width:20.15pt;height:17.85pt" o:ole="">
                  <v:imagedata r:id="rId4" o:title=""/>
                </v:shape>
                <w:control r:id="rId54" w:name="DefaultOcxName116" w:shapeid="_x0000_i126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True</w:t>
            </w:r>
            <w:proofErr w:type="spellEnd"/>
          </w:p>
        </w:tc>
      </w:tr>
    </w:tbl>
    <w:p w:rsidR="005A6264" w:rsidRDefault="005A6264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4"/>
        <w:gridCol w:w="8391"/>
      </w:tblGrid>
      <w:tr w:rsidR="005A6264" w:rsidRPr="005A6264" w:rsidTr="005A626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025. Which is the choice of the Process Speed Setting?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that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apply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11" name="Рисунок 11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10" name="Рисунок 10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84" type="#_x0000_t75" style="width:20.15pt;height:17.85pt" o:ole="">
                  <v:imagedata r:id="rId11" o:title=""/>
                </v:shape>
                <w:control r:id="rId55" w:name="DefaultOcxName39" w:shapeid="_x0000_i128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Low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Speed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83" type="#_x0000_t75" style="width:20.15pt;height:17.85pt" o:ole="">
                  <v:imagedata r:id="rId11" o:title=""/>
                </v:shape>
                <w:control r:id="rId56" w:name="DefaultOcxName117" w:shapeid="_x0000_i128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Default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282" type="#_x0000_t75" style="width:20.15pt;height:17.85pt" o:ole="">
                  <v:imagedata r:id="rId11" o:title=""/>
                </v:shape>
                <w:control r:id="rId57" w:name="DefaultOcxName212" w:shapeid="_x0000_i128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High</w:t>
            </w:r>
            <w:proofErr w:type="spellEnd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Speed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281" type="#_x0000_t75" style="width:20.15pt;height:17.85pt" o:ole="">
                  <v:imagedata r:id="rId11" o:title=""/>
                </v:shape>
                <w:control r:id="rId58" w:name="DefaultOcxName38" w:shapeid="_x0000_i128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Middle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Speed</w:t>
            </w:r>
            <w:proofErr w:type="spellEnd"/>
          </w:p>
        </w:tc>
      </w:tr>
    </w:tbl>
    <w:p w:rsidR="005A6264" w:rsidRDefault="005A6264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4"/>
        <w:gridCol w:w="8391"/>
      </w:tblGrid>
      <w:tr w:rsidR="005A6264" w:rsidRPr="005A6264" w:rsidTr="005A626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003. Select all correct items regarding the product design and the plan policy.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751060" cy="7620"/>
                  <wp:effectExtent l="0" t="0" r="0" b="0"/>
                  <wp:docPr id="13" name="Рисунок 13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right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answers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1060" cy="7620"/>
                  <wp:effectExtent l="0" t="0" r="0" b="0"/>
                  <wp:docPr id="12" name="Рисунок 12" descr="https://mplus.konicaminolta.eu/images/ein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s://mplus.konicaminolta.eu/images/ein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0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305" type="#_x0000_t75" style="width:20.15pt;height:17.85pt" o:ole="">
                  <v:imagedata r:id="rId11" o:title=""/>
                </v:shape>
                <w:control r:id="rId59" w:name="DefaultOcxName40" w:shapeid="_x0000_i130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Realize the same high image quality as the PRO 1200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304" type="#_x0000_t75" style="width:20.15pt;height:17.85pt" o:ole="">
                  <v:imagedata r:id="rId11" o:title=""/>
                </v:shape>
                <w:control r:id="rId60" w:name="DefaultOcxName118" w:shapeid="_x0000_i130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Realize the space-saving body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303" type="#_x0000_t75" style="width:20.15pt;height:17.85pt" o:ole="">
                  <v:imagedata r:id="rId11" o:title=""/>
                </v:shape>
                <w:control r:id="rId61" w:name="DefaultOcxName213" w:shapeid="_x0000_i130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Realize the low price for the system</w:t>
            </w:r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object w:dxaOrig="1440" w:dyaOrig="1440">
                <v:shape id="_x0000_i1302" type="#_x0000_t75" style="width:20.15pt;height:17.85pt" o:ole="">
                  <v:imagedata r:id="rId11" o:title=""/>
                </v:shape>
                <w:control r:id="rId62" w:name="DefaultOcxName310" w:shapeid="_x0000_i130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Support</w:t>
            </w:r>
            <w:proofErr w:type="spellEnd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office</w:t>
            </w:r>
            <w:proofErr w:type="spellEnd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62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applications</w:t>
            </w:r>
            <w:proofErr w:type="spellEnd"/>
          </w:p>
        </w:tc>
      </w:tr>
      <w:tr w:rsidR="005A6264" w:rsidRPr="005A6264" w:rsidTr="005A626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object w:dxaOrig="1440" w:dyaOrig="1440">
                <v:shape id="_x0000_i1301" type="#_x0000_t75" style="width:20.15pt;height:17.85pt" o:ole="">
                  <v:imagedata r:id="rId11" o:title=""/>
                </v:shape>
                <w:control r:id="rId63" w:name="DefaultOcxName42" w:shapeid="_x0000_i130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264" w:rsidRPr="005A6264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Support</w:t>
            </w:r>
            <w:proofErr w:type="spellEnd"/>
            <w:r w:rsidRPr="005A62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ORU-M</w:t>
            </w:r>
          </w:p>
        </w:tc>
      </w:tr>
    </w:tbl>
    <w:p w:rsidR="005A6264" w:rsidRDefault="005A6264">
      <w:pPr>
        <w:rPr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6264" w:rsidRPr="005E2047" w:rsidTr="005A626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987"/>
              <w:gridCol w:w="674"/>
              <w:gridCol w:w="807"/>
              <w:gridCol w:w="723"/>
              <w:gridCol w:w="2883"/>
              <w:gridCol w:w="1029"/>
            </w:tblGrid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Оценка</w:t>
                  </w: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br/>
                  </w: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Для</w:t>
                  </w: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 xml:space="preserve"> Ruslan Tishkov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Задание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Группа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Уровень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Баллов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Максимальное</w:t>
                  </w: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количество</w:t>
                  </w: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баллов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Процентов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E_bizhubpro951_mainbody.060_1_2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E_bizhubpro951_mainbody.065_3_2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3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E_bizhubpro951_mainbody.050_2_2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E_bizhubpro951_mainbody.047_2_2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E_bizhubpro951_mainbody.033_2_2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E_bizhubpro951_mainbody.039_2_2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E_bizhubpro951_mainbody.001_2_2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E_bizhubpro951_mainbody.070_4_2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4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E_bizhubpro951_mainbody.034_4_2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4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E_bizhubpro951_mainbody.045_3_2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3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E_bizhubpro951_mainbody.008_2_2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E_bizhubpro951_mainbody.020_1_2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E_bizhubpro951_mainbody.058_1_2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E_bizhubpro951_mainbody.006_2_2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E_bizhubpro951_mainbody.061_1_2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E_bizhubpro951_mainbody.028_2_2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E_bizhubpro951_mainbody.023_2_2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E_bizhubpro951_mainbody.011_2_2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E_bizhubpro951_mainbody.025_3_2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3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0.5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50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E_bizhubpro951_mainbody.003_3_2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Class 3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100</w:t>
                  </w:r>
                </w:p>
              </w:tc>
            </w:tr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A6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18.5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92.5</w:t>
                  </w:r>
                </w:p>
              </w:tc>
            </w:tr>
          </w:tbl>
          <w:p w:rsidR="005A6264" w:rsidRPr="005E2047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E20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br/>
            </w:r>
            <w:r w:rsidRPr="005E20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br/>
              <w:t>Processing time: 00:29:42 </w:t>
            </w:r>
            <w:hyperlink r:id="rId64" w:history="1">
              <w:r w:rsidRPr="005E2047">
                <w:rPr>
                  <w:rFonts w:ascii="Arial" w:eastAsia="Times New Roman" w:hAnsi="Arial" w:cs="Arial"/>
                  <w:color w:val="0066CC"/>
                  <w:sz w:val="18"/>
                  <w:szCs w:val="18"/>
                  <w:lang w:val="en-US" w:eastAsia="ru-RU"/>
                </w:rPr>
                <w:br/>
              </w:r>
              <w:r w:rsidRPr="005E2047">
                <w:rPr>
                  <w:rFonts w:ascii="Arial" w:eastAsia="Times New Roman" w:hAnsi="Arial" w:cs="Arial"/>
                  <w:color w:val="0066CC"/>
                  <w:sz w:val="18"/>
                  <w:szCs w:val="18"/>
                  <w:lang w:val="en-US" w:eastAsia="ru-RU"/>
                </w:rPr>
                <w:br/>
              </w:r>
              <w:r w:rsidRPr="005A6264">
                <w:rPr>
                  <w:rFonts w:ascii="Arial" w:eastAsia="Times New Roman" w:hAnsi="Arial" w:cs="Arial"/>
                  <w:color w:val="0066CC"/>
                  <w:sz w:val="18"/>
                  <w:szCs w:val="18"/>
                  <w:lang w:eastAsia="ru-RU"/>
                </w:rPr>
                <w:t>Оценка</w:t>
              </w:r>
              <w:r w:rsidRPr="005E2047">
                <w:rPr>
                  <w:rFonts w:ascii="Arial" w:eastAsia="Times New Roman" w:hAnsi="Arial" w:cs="Arial"/>
                  <w:color w:val="0066CC"/>
                  <w:sz w:val="18"/>
                  <w:szCs w:val="18"/>
                  <w:lang w:val="en-US" w:eastAsia="ru-RU"/>
                </w:rPr>
                <w:t xml:space="preserve"> </w:t>
              </w:r>
              <w:r w:rsidRPr="005A6264">
                <w:rPr>
                  <w:rFonts w:ascii="Arial" w:eastAsia="Times New Roman" w:hAnsi="Arial" w:cs="Arial"/>
                  <w:color w:val="0066CC"/>
                  <w:sz w:val="18"/>
                  <w:szCs w:val="18"/>
                  <w:lang w:eastAsia="ru-RU"/>
                </w:rPr>
                <w:t>по</w:t>
              </w:r>
              <w:r w:rsidRPr="005E2047">
                <w:rPr>
                  <w:rFonts w:ascii="Arial" w:eastAsia="Times New Roman" w:hAnsi="Arial" w:cs="Arial"/>
                  <w:color w:val="0066CC"/>
                  <w:sz w:val="18"/>
                  <w:szCs w:val="18"/>
                  <w:lang w:val="en-US" w:eastAsia="ru-RU"/>
                </w:rPr>
                <w:t xml:space="preserve"> </w:t>
              </w:r>
              <w:r w:rsidRPr="005A6264">
                <w:rPr>
                  <w:rFonts w:ascii="Arial" w:eastAsia="Times New Roman" w:hAnsi="Arial" w:cs="Arial"/>
                  <w:color w:val="0066CC"/>
                  <w:sz w:val="18"/>
                  <w:szCs w:val="18"/>
                  <w:lang w:eastAsia="ru-RU"/>
                </w:rPr>
                <w:t>главам</w:t>
              </w:r>
            </w:hyperlink>
            <w:r w:rsidRPr="005E20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5E20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br/>
            </w:r>
            <w:r w:rsidRPr="005A62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75260" cy="175260"/>
                  <wp:effectExtent l="0" t="0" r="0" b="0"/>
                  <wp:docPr id="14" name="Рисунок 14" descr="Pas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Pas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7" w:type="dxa"/>
              <w:shd w:val="clear" w:color="auto" w:fill="EAEAE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A6264" w:rsidRPr="005E2047">
              <w:trPr>
                <w:tblCellSpacing w:w="7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5A6264" w:rsidRPr="005E2047" w:rsidRDefault="005A6264" w:rsidP="005A62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  <w:lang w:val="en-US" w:eastAsia="ru-RU"/>
                    </w:rPr>
                  </w:pP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  <w:lang w:val="en-US" w:eastAsia="ru-RU"/>
                    </w:rPr>
                    <w:t> You have achieved 93 % of the points. 70 % were required.</w:t>
                  </w:r>
                  <w:r w:rsidRPr="005E2047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  <w:lang w:val="en-US" w:eastAsia="ru-RU"/>
                    </w:rPr>
                    <w:br/>
                    <w:t>Therewith you have completed the training succesfully.</w:t>
                  </w:r>
                </w:p>
              </w:tc>
            </w:tr>
          </w:tbl>
          <w:p w:rsidR="005A6264" w:rsidRPr="005E2047" w:rsidRDefault="005A6264" w:rsidP="005A62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5A6264" w:rsidRPr="00087FB9" w:rsidRDefault="005A6264">
      <w:pPr>
        <w:rPr>
          <w:lang w:val="en-US"/>
        </w:rPr>
      </w:pPr>
      <w:bookmarkStart w:id="0" w:name="_GoBack"/>
      <w:bookmarkEnd w:id="0"/>
    </w:p>
    <w:sectPr w:rsidR="005A6264" w:rsidRPr="0008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B9"/>
    <w:rsid w:val="000771B6"/>
    <w:rsid w:val="00087FB9"/>
    <w:rsid w:val="00241F6F"/>
    <w:rsid w:val="005A6264"/>
    <w:rsid w:val="005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FE4A8-9233-4C05-84D7-5D124A2C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6264"/>
  </w:style>
  <w:style w:type="character" w:styleId="a3">
    <w:name w:val="Hyperlink"/>
    <w:basedOn w:val="a0"/>
    <w:uiPriority w:val="99"/>
    <w:semiHidden/>
    <w:unhideWhenUsed/>
    <w:rsid w:val="005A6264"/>
    <w:rPr>
      <w:color w:val="0000FF"/>
      <w:u w:val="single"/>
    </w:rPr>
  </w:style>
  <w:style w:type="paragraph" w:customStyle="1" w:styleId="goodinfo">
    <w:name w:val="goodinfo"/>
    <w:basedOn w:val="a"/>
    <w:rsid w:val="005A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image" Target="media/image3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hyperlink" Target="https://mplus.konicaminolta.eu/autor/aufgaben/aufgabenviewer/include/lernwegempfehlung.php?bloecke_user_id=446545&amp;blockuid=70b6e92a321c2a6ade90fad7b4c6fa4b" TargetMode="Externa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image" Target="media/image2.gif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image" Target="media/image4.gif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Тишков</dc:creator>
  <cp:keywords/>
  <dc:description/>
  <cp:lastModifiedBy>Руслан Тишков</cp:lastModifiedBy>
  <cp:revision>1</cp:revision>
  <dcterms:created xsi:type="dcterms:W3CDTF">2013-06-08T08:26:00Z</dcterms:created>
  <dcterms:modified xsi:type="dcterms:W3CDTF">2013-06-08T09:07:00Z</dcterms:modified>
</cp:coreProperties>
</file>